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25"/>
        <w:gridCol w:w="2048"/>
      </w:tblGrid>
      <w:tr w:rsidR="00F15752" w:rsidRPr="00F15752" w:rsidTr="00F1575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5752" w:rsidRPr="00F15752" w:rsidRDefault="00F15752" w:rsidP="00F15752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86:</w:t>
            </w:r>
            <w:r w:rsidRPr="00F15752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Salary ranges for staff covered by the Department of Human Services Agreement 2011–14</w:t>
            </w:r>
            <w:r w:rsidRPr="00F15752">
              <w:rPr>
                <w:rFonts w:ascii="Verdana" w:eastAsia="Times New Roman" w:hAnsi="Verdana" w:cs="Times New Roman"/>
                <w:sz w:val="14"/>
                <w:szCs w:val="14"/>
                <w:vertAlign w:val="superscript"/>
                <w:lang w:eastAsia="en-AU"/>
              </w:rPr>
              <w:t>1</w:t>
            </w:r>
            <w:r w:rsidRPr="00F15752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</w:t>
            </w:r>
          </w:p>
        </w:tc>
      </w:tr>
      <w:tr w:rsidR="00F15752" w:rsidRPr="00F15752" w:rsidTr="00F15752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Classification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Salary range ($)</w:t>
            </w:r>
          </w:p>
        </w:tc>
      </w:tr>
      <w:tr w:rsidR="00F15752" w:rsidRPr="00F15752" w:rsidTr="00F1575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Executive Level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108,424–128,940</w:t>
            </w:r>
          </w:p>
        </w:tc>
      </w:tr>
      <w:tr w:rsidR="00F15752" w:rsidRPr="00F15752" w:rsidTr="00F1575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Executive Level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93,693–103,820</w:t>
            </w:r>
          </w:p>
        </w:tc>
      </w:tr>
      <w:tr w:rsidR="00F15752" w:rsidRPr="00F15752" w:rsidTr="00F1575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74,906–86,618</w:t>
            </w:r>
          </w:p>
        </w:tc>
      </w:tr>
      <w:tr w:rsidR="00F15752" w:rsidRPr="00F15752" w:rsidTr="00F1575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67,668–73,017</w:t>
            </w:r>
          </w:p>
        </w:tc>
      </w:tr>
      <w:tr w:rsidR="00F15752" w:rsidRPr="00F15752" w:rsidTr="00F1575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60,672–67,222</w:t>
            </w:r>
          </w:p>
        </w:tc>
      </w:tr>
      <w:tr w:rsidR="00F15752" w:rsidRPr="00F15752" w:rsidTr="00F1575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54,435–60,671</w:t>
            </w:r>
          </w:p>
        </w:tc>
      </w:tr>
      <w:tr w:rsidR="00F15752" w:rsidRPr="00F15752" w:rsidTr="00F1575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49,106–52,998</w:t>
            </w:r>
          </w:p>
        </w:tc>
      </w:tr>
      <w:tr w:rsidR="00F15752" w:rsidRPr="00F15752" w:rsidTr="00F1575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43,944–47,119</w:t>
            </w:r>
          </w:p>
        </w:tc>
      </w:tr>
      <w:tr w:rsidR="00F15752" w:rsidRPr="00F15752" w:rsidTr="00F1575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Deputy General Counsel—Executive Level 2 (Legal Job Stream)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108,424–136,931</w:t>
            </w:r>
          </w:p>
        </w:tc>
      </w:tr>
      <w:tr w:rsidR="00F15752" w:rsidRPr="00F15752" w:rsidTr="00F1575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Senior Rehabilitation Consultant—APS 6 (Professional Job Stream)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74,906–91,278</w:t>
            </w:r>
          </w:p>
        </w:tc>
      </w:tr>
      <w:tr w:rsidR="00F15752" w:rsidRPr="00F15752" w:rsidTr="00F1575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Rehabilitation Consultant 2—APS 6 (Professional Job Stream)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74,906–86,904</w:t>
            </w:r>
          </w:p>
        </w:tc>
      </w:tr>
      <w:tr w:rsidR="00F15752" w:rsidRPr="00F15752" w:rsidTr="00F1575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Trainee (School-based pathway)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17,577–21,972</w:t>
            </w:r>
          </w:p>
        </w:tc>
      </w:tr>
      <w:tr w:rsidR="00F15752" w:rsidRPr="00F15752" w:rsidTr="00F1575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Trainee (Apprentice)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49,106</w:t>
            </w:r>
          </w:p>
        </w:tc>
      </w:tr>
      <w:tr w:rsidR="00F15752" w:rsidRPr="00F15752" w:rsidTr="00F1575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Trainee (IT apprentice)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43,944–50,456</w:t>
            </w:r>
          </w:p>
        </w:tc>
      </w:tr>
      <w:tr w:rsidR="00F15752" w:rsidRPr="00F15752" w:rsidTr="00F1575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Cadet APS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25,048–50,456</w:t>
            </w:r>
          </w:p>
        </w:tc>
      </w:tr>
      <w:tr w:rsidR="00F15752" w:rsidRPr="00F15752" w:rsidTr="00F1575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Graduate APS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5752" w:rsidRPr="00F15752" w:rsidRDefault="00F15752" w:rsidP="00F157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1575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54,435–60,672</w:t>
            </w:r>
          </w:p>
        </w:tc>
      </w:tr>
    </w:tbl>
    <w:p w:rsidR="00F15752" w:rsidRDefault="00F15752" w:rsidP="00F15752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F15752" w:rsidRPr="00F15752" w:rsidRDefault="00F15752" w:rsidP="00F15752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F15752">
        <w:rPr>
          <w:rFonts w:ascii="Verdana" w:eastAsia="Times New Roman" w:hAnsi="Verdana" w:cs="Times New Roman"/>
          <w:sz w:val="15"/>
          <w:szCs w:val="15"/>
          <w:lang w:val="en" w:eastAsia="en-AU"/>
        </w:rPr>
        <w:t>1. The salary ranges in this table cover base salary rates only and do not include reportable fringe benefits, allowances and salary sacrifice arrangements.</w:t>
      </w:r>
    </w:p>
    <w:p w:rsidR="006F7EF6" w:rsidRPr="00F15752" w:rsidRDefault="006F7EF6" w:rsidP="00F15752"/>
    <w:sectPr w:rsidR="006F7EF6" w:rsidRPr="00F157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40A"/>
    <w:rsid w:val="0065440A"/>
    <w:rsid w:val="006F7EF6"/>
    <w:rsid w:val="00BB41A0"/>
    <w:rsid w:val="00F1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440A"/>
    <w:rPr>
      <w:b/>
      <w:bCs/>
    </w:rPr>
  </w:style>
  <w:style w:type="paragraph" w:customStyle="1" w:styleId="fs90">
    <w:name w:val="fs90"/>
    <w:basedOn w:val="Normal"/>
    <w:rsid w:val="00F15752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440A"/>
    <w:rPr>
      <w:b/>
      <w:bCs/>
    </w:rPr>
  </w:style>
  <w:style w:type="paragraph" w:customStyle="1" w:styleId="fs90">
    <w:name w:val="fs90"/>
    <w:basedOn w:val="Normal"/>
    <w:rsid w:val="00F15752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3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5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73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58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03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9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3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4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6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33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5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27277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2014-02-24T23:18:00Z</dcterms:created>
  <dcterms:modified xsi:type="dcterms:W3CDTF">2014-03-04T23:05:00Z</dcterms:modified>
</cp:coreProperties>
</file>